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0D0D9" w14:textId="6B09092A" w:rsidR="00EC7AEE" w:rsidRDefault="008F1EB6">
      <w:pPr>
        <w:rPr>
          <w:b/>
          <w:bCs/>
          <w:u w:val="single"/>
          <w:lang w:val="en-US"/>
        </w:rPr>
      </w:pPr>
      <w:r>
        <w:rPr>
          <w:b/>
          <w:bCs/>
          <w:noProof/>
          <w:u w:val="single"/>
          <w:lang w:val="en-US"/>
        </w:rPr>
        <w:drawing>
          <wp:inline distT="0" distB="0" distL="0" distR="0" wp14:anchorId="54B1764F" wp14:editId="183DF7F9">
            <wp:extent cx="3601778" cy="892824"/>
            <wp:effectExtent l="0" t="0" r="0" b="2540"/>
            <wp:docPr id="881052860" name="Picture 1" descr="A red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052860" name="Picture 1" descr="A red and black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1778" cy="89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D0A17" w14:textId="77777777" w:rsidR="00EC7AEE" w:rsidRDefault="00EC7AEE">
      <w:pPr>
        <w:rPr>
          <w:b/>
          <w:bCs/>
          <w:u w:val="single"/>
          <w:lang w:val="en-US"/>
        </w:rPr>
      </w:pPr>
    </w:p>
    <w:p w14:paraId="0F795AE7" w14:textId="0148C6BE" w:rsidR="00EE3839" w:rsidRPr="008F1EB6" w:rsidRDefault="00EE3839">
      <w:pPr>
        <w:rPr>
          <w:b/>
          <w:bCs/>
          <w:sz w:val="32"/>
          <w:szCs w:val="32"/>
          <w:u w:val="single"/>
          <w:lang w:val="en-US"/>
        </w:rPr>
      </w:pPr>
      <w:r w:rsidRPr="008F1EB6">
        <w:rPr>
          <w:b/>
          <w:bCs/>
          <w:sz w:val="32"/>
          <w:szCs w:val="32"/>
          <w:u w:val="single"/>
          <w:lang w:val="en-US"/>
        </w:rPr>
        <w:t>PARTNER Social Posts</w:t>
      </w:r>
    </w:p>
    <w:p w14:paraId="6ACC29A9" w14:textId="77777777" w:rsidR="00EE3839" w:rsidRPr="008F1EB6" w:rsidRDefault="00EE3839">
      <w:pPr>
        <w:rPr>
          <w:sz w:val="32"/>
          <w:szCs w:val="32"/>
          <w:lang w:val="en-US"/>
        </w:rPr>
      </w:pPr>
    </w:p>
    <w:p w14:paraId="3CCAC1BF" w14:textId="5B538FE2" w:rsidR="00EE3839" w:rsidRPr="008F1EB6" w:rsidRDefault="00EE3839">
      <w:pPr>
        <w:rPr>
          <w:b/>
          <w:bCs/>
          <w:sz w:val="32"/>
          <w:szCs w:val="32"/>
          <w:lang w:val="en-US"/>
        </w:rPr>
      </w:pPr>
      <w:r w:rsidRPr="008F1EB6">
        <w:rPr>
          <w:b/>
          <w:bCs/>
          <w:sz w:val="32"/>
          <w:szCs w:val="32"/>
          <w:lang w:val="en-US"/>
        </w:rPr>
        <w:t xml:space="preserve">VOLATLITY Playbook </w:t>
      </w:r>
    </w:p>
    <w:p w14:paraId="0A890F33" w14:textId="2314017E" w:rsidR="00EE3839" w:rsidRPr="00EE3839" w:rsidRDefault="00EE3839" w:rsidP="00EE3839">
      <w:pPr>
        <w:rPr>
          <w:lang w:val="en-US"/>
        </w:rPr>
      </w:pPr>
      <w:r w:rsidRPr="00EE3839">
        <w:rPr>
          <w:lang w:val="en-US"/>
        </w:rPr>
        <w:t>Currency markets are facing one of the most unpredictable years in recent history</w:t>
      </w:r>
      <w:r>
        <w:rPr>
          <w:lang w:val="en-US"/>
        </w:rPr>
        <w:t>.</w:t>
      </w:r>
    </w:p>
    <w:p w14:paraId="5BDDB1A9" w14:textId="13E0E8B9" w:rsidR="00EE3839" w:rsidRPr="00EE3839" w:rsidRDefault="00EE3839" w:rsidP="00EE3839">
      <w:pPr>
        <w:rPr>
          <w:lang w:val="en-US"/>
        </w:rPr>
      </w:pPr>
      <w:r w:rsidRPr="00EE3839">
        <w:rPr>
          <w:lang w:val="en-US"/>
        </w:rPr>
        <w:t xml:space="preserve">With trade wars, economic instability, and geopolitical tensions shaking FX markets, it’s crucial to stay ahead of the curve. That’s why we’ve partnered with </w:t>
      </w:r>
      <w:hyperlink r:id="rId6" w:history="1">
        <w:r w:rsidRPr="00EE3839">
          <w:rPr>
            <w:rStyle w:val="Hyperlink"/>
            <w:b/>
            <w:bCs/>
            <w:color w:val="FF0000"/>
            <w:lang w:val="en-US"/>
          </w:rPr>
          <w:t>Caxton</w:t>
        </w:r>
      </w:hyperlink>
      <w:r w:rsidRPr="00EE3839">
        <w:rPr>
          <w:lang w:val="en-US"/>
        </w:rPr>
        <w:t xml:space="preserve"> to bring you the 2025 Volatility Playbook—an expert guide to navigating the uncertainty.</w:t>
      </w:r>
    </w:p>
    <w:p w14:paraId="7F679591" w14:textId="2D5B1345" w:rsidR="00EE3839" w:rsidRPr="00EE3839" w:rsidRDefault="00EE3839" w:rsidP="00EE3839">
      <w:pPr>
        <w:rPr>
          <w:lang w:val="en-US"/>
        </w:rPr>
      </w:pPr>
      <w:r w:rsidRPr="00EE3839">
        <w:rPr>
          <w:lang w:val="en-US"/>
        </w:rPr>
        <w:t xml:space="preserve"> What’s inside:</w:t>
      </w:r>
    </w:p>
    <w:p w14:paraId="4B585180" w14:textId="1AB3DA00" w:rsidR="00EE3839" w:rsidRPr="00EE3839" w:rsidRDefault="00EE3839" w:rsidP="00EE3839">
      <w:pPr>
        <w:pStyle w:val="ListParagraph"/>
        <w:numPr>
          <w:ilvl w:val="0"/>
          <w:numId w:val="1"/>
        </w:numPr>
        <w:rPr>
          <w:lang w:val="en-US"/>
        </w:rPr>
      </w:pPr>
      <w:r w:rsidRPr="00EE3839">
        <w:rPr>
          <w:lang w:val="en-US"/>
        </w:rPr>
        <w:t>The biggest market shocks of 2024 and their impact on 2025</w:t>
      </w:r>
    </w:p>
    <w:p w14:paraId="0430A3D7" w14:textId="3A5E9DFD" w:rsidR="00EE3839" w:rsidRPr="00EE3839" w:rsidRDefault="00EE3839" w:rsidP="00EE3839">
      <w:pPr>
        <w:pStyle w:val="ListParagraph"/>
        <w:numPr>
          <w:ilvl w:val="0"/>
          <w:numId w:val="1"/>
        </w:numPr>
        <w:rPr>
          <w:lang w:val="en-US"/>
        </w:rPr>
      </w:pPr>
      <w:r w:rsidRPr="00EE3839">
        <w:rPr>
          <w:lang w:val="en-US"/>
        </w:rPr>
        <w:t>Why UK bond market turmoil could affect GBP stability</w:t>
      </w:r>
    </w:p>
    <w:p w14:paraId="730EB49F" w14:textId="547A1902" w:rsidR="00EE3839" w:rsidRPr="00EE3839" w:rsidRDefault="00EE3839" w:rsidP="00EE3839">
      <w:pPr>
        <w:pStyle w:val="ListParagraph"/>
        <w:numPr>
          <w:ilvl w:val="0"/>
          <w:numId w:val="1"/>
        </w:numPr>
        <w:rPr>
          <w:lang w:val="en-US"/>
        </w:rPr>
      </w:pPr>
      <w:r w:rsidRPr="00EE3839">
        <w:rPr>
          <w:lang w:val="en-US"/>
        </w:rPr>
        <w:t>How new tariffs and political shifts could drive FX volatility</w:t>
      </w:r>
    </w:p>
    <w:p w14:paraId="6834DFDD" w14:textId="04A03BAB" w:rsidR="00EE3839" w:rsidRPr="00EE3839" w:rsidRDefault="00EE3839" w:rsidP="00EE3839">
      <w:pPr>
        <w:pStyle w:val="ListParagraph"/>
        <w:numPr>
          <w:ilvl w:val="0"/>
          <w:numId w:val="1"/>
        </w:numPr>
        <w:rPr>
          <w:lang w:val="en-US"/>
        </w:rPr>
      </w:pPr>
      <w:r w:rsidRPr="00EE3839">
        <w:rPr>
          <w:lang w:val="en-US"/>
        </w:rPr>
        <w:t>The safest and riskiest currencies this year</w:t>
      </w:r>
    </w:p>
    <w:p w14:paraId="3B153E02" w14:textId="239FE8E9" w:rsidR="00EE3839" w:rsidRPr="00EE3839" w:rsidRDefault="00EE3839" w:rsidP="00EE3839">
      <w:pPr>
        <w:pStyle w:val="ListParagraph"/>
        <w:numPr>
          <w:ilvl w:val="0"/>
          <w:numId w:val="1"/>
        </w:numPr>
        <w:rPr>
          <w:lang w:val="en-US"/>
        </w:rPr>
      </w:pPr>
      <w:r w:rsidRPr="00EE3839">
        <w:rPr>
          <w:lang w:val="en-US"/>
        </w:rPr>
        <w:t>Expert strategies to protect your cash flow</w:t>
      </w:r>
    </w:p>
    <w:p w14:paraId="7E9B2DCD" w14:textId="3CECA772" w:rsidR="00EE3839" w:rsidRPr="00EE3839" w:rsidRDefault="00EE3839" w:rsidP="00EE3839">
      <w:pPr>
        <w:rPr>
          <w:lang w:val="en-US"/>
        </w:rPr>
      </w:pPr>
      <w:r w:rsidRPr="00EE3839">
        <w:rPr>
          <w:lang w:val="en-US"/>
        </w:rPr>
        <w:t>[Download the Playbook]</w:t>
      </w:r>
    </w:p>
    <w:p w14:paraId="36E818B4" w14:textId="2F391BCF" w:rsidR="00EE3839" w:rsidRPr="00EE3839" w:rsidRDefault="00EE3839" w:rsidP="00EE3839">
      <w:pPr>
        <w:rPr>
          <w:lang w:val="en-US"/>
        </w:rPr>
      </w:pPr>
      <w:r w:rsidRPr="00EE3839">
        <w:rPr>
          <w:lang w:val="en-US"/>
        </w:rPr>
        <w:t>Don’t let FX volatility catch you off guard—prepare your business for 2025!</w:t>
      </w:r>
    </w:p>
    <w:p w14:paraId="0DCD8999" w14:textId="010872BB" w:rsidR="00EE3839" w:rsidRPr="00EE3839" w:rsidRDefault="00EE3839" w:rsidP="00EE3839">
      <w:pPr>
        <w:rPr>
          <w:lang w:val="en-US"/>
        </w:rPr>
      </w:pPr>
      <w:r w:rsidRPr="00EE3839">
        <w:rPr>
          <w:lang w:val="en-US"/>
        </w:rPr>
        <w:t>#CurrencyRisk #FXVolatility #GlobalMarkets #InternationalPayments #BusinessStrategy #2025Forecast #RiskManagement</w:t>
      </w:r>
    </w:p>
    <w:sectPr w:rsidR="00EE3839" w:rsidRPr="00EE38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F7EFB"/>
    <w:multiLevelType w:val="hybridMultilevel"/>
    <w:tmpl w:val="790C3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10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39"/>
    <w:rsid w:val="00437CF1"/>
    <w:rsid w:val="00815F81"/>
    <w:rsid w:val="008F1EB6"/>
    <w:rsid w:val="00EC7AEE"/>
    <w:rsid w:val="00EE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EBA3B"/>
  <w15:chartTrackingRefBased/>
  <w15:docId w15:val="{052BB79C-1D55-4664-9F73-66D4F16D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8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3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3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3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3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3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8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8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8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3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3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3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3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3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3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3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3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3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3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38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38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company/caxton-payments/?lipi=urn%3Ali%3Apage%3Ad_flagship3_search_srp_all%3BUqHvhTFlTgmJhHDvoIqzrQ%3D%3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Bracken</dc:creator>
  <cp:keywords/>
  <dc:description/>
  <cp:lastModifiedBy>Jenni Bracken</cp:lastModifiedBy>
  <cp:revision>3</cp:revision>
  <dcterms:created xsi:type="dcterms:W3CDTF">2025-03-19T15:29:00Z</dcterms:created>
  <dcterms:modified xsi:type="dcterms:W3CDTF">2025-06-04T09:40:00Z</dcterms:modified>
</cp:coreProperties>
</file>